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26C" w:rsidRDefault="00934AFB" w:rsidP="00934AFB">
      <w:pPr>
        <w:pStyle w:val="NoSpacing"/>
        <w:jc w:val="center"/>
        <w:rPr>
          <w:b/>
          <w:u w:val="single"/>
        </w:rPr>
      </w:pPr>
      <w:bookmarkStart w:id="0" w:name="_GoBack"/>
      <w:bookmarkEnd w:id="0"/>
      <w:r w:rsidRPr="00934AFB">
        <w:rPr>
          <w:b/>
          <w:u w:val="single"/>
        </w:rPr>
        <w:t>Freedom of Information request - Choice of land for the Commonwealth Games aquatic centre</w:t>
      </w:r>
    </w:p>
    <w:p w:rsidR="00934AFB" w:rsidRDefault="00934AFB" w:rsidP="00934AFB">
      <w:pPr>
        <w:pStyle w:val="NoSpacing"/>
        <w:jc w:val="center"/>
        <w:rPr>
          <w:b/>
          <w:u w:val="single"/>
        </w:rPr>
      </w:pPr>
    </w:p>
    <w:p w:rsidR="00934AFB" w:rsidRDefault="00934AFB" w:rsidP="00934AFB">
      <w:pPr>
        <w:pStyle w:val="NoSpacing"/>
        <w:numPr>
          <w:ilvl w:val="0"/>
          <w:numId w:val="1"/>
        </w:numPr>
      </w:pPr>
      <w:r w:rsidRPr="00934AFB">
        <w:t>Which other sites were considered as possible locations for the construction of the new Commonwealth Games aquatic centre?</w:t>
      </w:r>
    </w:p>
    <w:p w:rsidR="00934AFB" w:rsidRDefault="00934AFB" w:rsidP="00934AFB">
      <w:pPr>
        <w:pStyle w:val="NoSpacing"/>
      </w:pPr>
    </w:p>
    <w:p w:rsidR="00934AFB" w:rsidRPr="00934AFB" w:rsidRDefault="00934AFB" w:rsidP="00934AFB">
      <w:pPr>
        <w:pStyle w:val="NoSpacing"/>
      </w:pPr>
      <w:r w:rsidRPr="00934AFB">
        <w:t>Black Patch (site in Perrott Street);</w:t>
      </w:r>
    </w:p>
    <w:p w:rsidR="00934AFB" w:rsidRPr="00934AFB" w:rsidRDefault="00934AFB" w:rsidP="00934AFB">
      <w:pPr>
        <w:pStyle w:val="NoSpacing"/>
      </w:pPr>
      <w:r w:rsidRPr="00934AFB">
        <w:t>Bearwood Road Allotments;</w:t>
      </w:r>
    </w:p>
    <w:p w:rsidR="00934AFB" w:rsidRPr="00934AFB" w:rsidRDefault="00934AFB" w:rsidP="00934AFB">
      <w:pPr>
        <w:pStyle w:val="NoSpacing"/>
      </w:pPr>
      <w:r w:rsidRPr="00934AFB">
        <w:t>GKN Sports Ground;</w:t>
      </w:r>
    </w:p>
    <w:p w:rsidR="00934AFB" w:rsidRPr="00934AFB" w:rsidRDefault="00934AFB" w:rsidP="00934AFB">
      <w:pPr>
        <w:pStyle w:val="NoSpacing"/>
      </w:pPr>
      <w:r w:rsidRPr="00934AFB">
        <w:t>Hadley Stadium;</w:t>
      </w:r>
    </w:p>
    <w:p w:rsidR="00934AFB" w:rsidRPr="00934AFB" w:rsidRDefault="00E34168" w:rsidP="00934AFB">
      <w:pPr>
        <w:pStyle w:val="NoSpacing"/>
      </w:pPr>
      <w:r>
        <w:t>Harry Mitchell Leisure Centre (including part of Harry Mitchell Park)</w:t>
      </w:r>
      <w:r w:rsidR="00934AFB" w:rsidRPr="00934AFB">
        <w:t>;</w:t>
      </w:r>
    </w:p>
    <w:p w:rsidR="00934AFB" w:rsidRPr="00934AFB" w:rsidRDefault="00934AFB" w:rsidP="00934AFB">
      <w:pPr>
        <w:pStyle w:val="NoSpacing"/>
      </w:pPr>
      <w:r w:rsidRPr="00934AFB">
        <w:t>Lewisham Park</w:t>
      </w:r>
      <w:r>
        <w:t>;</w:t>
      </w:r>
    </w:p>
    <w:p w:rsidR="00934AFB" w:rsidRPr="00934AFB" w:rsidRDefault="00934AFB" w:rsidP="00934AFB">
      <w:pPr>
        <w:pStyle w:val="NoSpacing"/>
      </w:pPr>
      <w:r w:rsidRPr="00934AFB">
        <w:t>Victoria Park</w:t>
      </w:r>
      <w:r>
        <w:t>;</w:t>
      </w:r>
    </w:p>
    <w:p w:rsidR="00934AFB" w:rsidRPr="00934AFB" w:rsidRDefault="00934AFB" w:rsidP="00934AFB">
      <w:pPr>
        <w:pStyle w:val="NoSpacing"/>
      </w:pPr>
      <w:r w:rsidRPr="00934AFB">
        <w:t>Warley Woods Park</w:t>
      </w:r>
      <w:r>
        <w:t>; and</w:t>
      </w:r>
    </w:p>
    <w:p w:rsidR="00934AFB" w:rsidRPr="00934AFB" w:rsidRDefault="00934AFB" w:rsidP="00934AFB">
      <w:pPr>
        <w:pStyle w:val="NoSpacing"/>
      </w:pPr>
      <w:r w:rsidRPr="00934AFB">
        <w:t>West Smethwick Park</w:t>
      </w:r>
    </w:p>
    <w:p w:rsidR="00934AFB" w:rsidRPr="00934AFB" w:rsidRDefault="00934AFB" w:rsidP="00934AFB">
      <w:pPr>
        <w:pStyle w:val="NoSpacing"/>
      </w:pPr>
    </w:p>
    <w:p w:rsidR="00934AFB" w:rsidRDefault="00934AFB" w:rsidP="00934AFB">
      <w:pPr>
        <w:pStyle w:val="NoSpacing"/>
        <w:numPr>
          <w:ilvl w:val="0"/>
          <w:numId w:val="1"/>
        </w:numPr>
      </w:pPr>
      <w:r w:rsidRPr="00934AFB">
        <w:t>By what criteria were they assessed on?</w:t>
      </w:r>
    </w:p>
    <w:p w:rsidR="00934AFB" w:rsidRDefault="00934AFB" w:rsidP="00934AFB">
      <w:pPr>
        <w:pStyle w:val="NoSpacing"/>
      </w:pPr>
    </w:p>
    <w:p w:rsidR="00934AFB" w:rsidRDefault="00A51C9F" w:rsidP="00934AFB">
      <w:pPr>
        <w:pStyle w:val="NoSpacing"/>
      </w:pPr>
      <w:r>
        <w:t>The sites were determined</w:t>
      </w:r>
      <w:r w:rsidR="00934AFB" w:rsidRPr="00934AFB">
        <w:t xml:space="preserve"> on the basis that they were larger than </w:t>
      </w:r>
      <w:proofErr w:type="gramStart"/>
      <w:r w:rsidR="00934AFB" w:rsidRPr="00934AFB">
        <w:t>2.75HA</w:t>
      </w:r>
      <w:r>
        <w:t xml:space="preserve"> </w:t>
      </w:r>
      <w:r w:rsidR="00934AFB" w:rsidRPr="00934AFB">
        <w:t>.</w:t>
      </w:r>
      <w:proofErr w:type="gramEnd"/>
      <w:r w:rsidR="00934AFB" w:rsidRPr="00934AFB">
        <w:t xml:space="preserve"> Each site was </w:t>
      </w:r>
      <w:r>
        <w:t>assessed</w:t>
      </w:r>
      <w:r w:rsidR="00934AFB" w:rsidRPr="00934AFB">
        <w:t xml:space="preserve"> </w:t>
      </w:r>
      <w:r>
        <w:t>on</w:t>
      </w:r>
      <w:r w:rsidR="00934AFB" w:rsidRPr="00934AFB">
        <w:t xml:space="preserve"> their legal constraints, planning </w:t>
      </w:r>
      <w:r w:rsidR="000C74E6">
        <w:t>constraints</w:t>
      </w:r>
      <w:r w:rsidR="00934AFB" w:rsidRPr="00934AFB">
        <w:t>, highways accessibility, the impact of any demolition cost</w:t>
      </w:r>
      <w:r>
        <w:t>, geographical location to existing leisure facilities</w:t>
      </w:r>
      <w:r w:rsidR="00934AFB" w:rsidRPr="00934AFB">
        <w:t xml:space="preserve">, and, where not in ownership of the Council, land purchase cost.  </w:t>
      </w:r>
    </w:p>
    <w:p w:rsidR="00934AFB" w:rsidRPr="00934AFB" w:rsidRDefault="00934AFB" w:rsidP="00934AFB">
      <w:pPr>
        <w:pStyle w:val="NoSpacing"/>
      </w:pPr>
    </w:p>
    <w:p w:rsidR="00934AFB" w:rsidRDefault="00934AFB" w:rsidP="00934AFB">
      <w:pPr>
        <w:pStyle w:val="NoSpacing"/>
        <w:numPr>
          <w:ilvl w:val="0"/>
          <w:numId w:val="1"/>
        </w:numPr>
      </w:pPr>
      <w:r w:rsidRPr="00934AFB">
        <w:t>For what reasons were they each found to be unsuitable?</w:t>
      </w:r>
    </w:p>
    <w:p w:rsidR="00934AFB" w:rsidRDefault="00934AFB" w:rsidP="00934AFB">
      <w:pPr>
        <w:pStyle w:val="NoSpacing"/>
      </w:pPr>
    </w:p>
    <w:tbl>
      <w:tblPr>
        <w:tblStyle w:val="TableGrid"/>
        <w:tblW w:w="0" w:type="auto"/>
        <w:tblLook w:val="04A0" w:firstRow="1" w:lastRow="0" w:firstColumn="1" w:lastColumn="0" w:noHBand="0" w:noVBand="1"/>
      </w:tblPr>
      <w:tblGrid>
        <w:gridCol w:w="4508"/>
        <w:gridCol w:w="4508"/>
      </w:tblGrid>
      <w:tr w:rsidR="00934AFB" w:rsidTr="00934AFB">
        <w:tc>
          <w:tcPr>
            <w:tcW w:w="4508" w:type="dxa"/>
          </w:tcPr>
          <w:p w:rsidR="00934AFB" w:rsidRPr="00934AFB" w:rsidRDefault="00934AFB" w:rsidP="00934AFB">
            <w:pPr>
              <w:pStyle w:val="NoSpacing"/>
              <w:rPr>
                <w:b/>
                <w:u w:val="single"/>
              </w:rPr>
            </w:pPr>
            <w:r w:rsidRPr="00934AFB">
              <w:rPr>
                <w:b/>
                <w:u w:val="single"/>
              </w:rPr>
              <w:t>Site</w:t>
            </w:r>
          </w:p>
        </w:tc>
        <w:tc>
          <w:tcPr>
            <w:tcW w:w="4508" w:type="dxa"/>
          </w:tcPr>
          <w:p w:rsidR="00934AFB" w:rsidRPr="00934AFB" w:rsidRDefault="00934AFB" w:rsidP="00934AFB">
            <w:pPr>
              <w:pStyle w:val="NoSpacing"/>
              <w:rPr>
                <w:b/>
                <w:u w:val="single"/>
              </w:rPr>
            </w:pPr>
            <w:r w:rsidRPr="00934AFB">
              <w:rPr>
                <w:b/>
                <w:u w:val="single"/>
              </w:rPr>
              <w:t>Reason</w:t>
            </w:r>
          </w:p>
        </w:tc>
      </w:tr>
      <w:tr w:rsidR="00934AFB" w:rsidTr="00934AFB">
        <w:tc>
          <w:tcPr>
            <w:tcW w:w="4508" w:type="dxa"/>
          </w:tcPr>
          <w:p w:rsidR="00934AFB" w:rsidRDefault="00934AFB" w:rsidP="00934AFB">
            <w:pPr>
              <w:pStyle w:val="NoSpacing"/>
            </w:pPr>
            <w:r>
              <w:t>Black Patch (site in Perrott Street)</w:t>
            </w:r>
          </w:p>
        </w:tc>
        <w:tc>
          <w:tcPr>
            <w:tcW w:w="4508" w:type="dxa"/>
          </w:tcPr>
          <w:p w:rsidR="00934AFB" w:rsidRDefault="00A51C9F" w:rsidP="00934AFB">
            <w:pPr>
              <w:pStyle w:val="NoSpacing"/>
            </w:pPr>
            <w:r>
              <w:t>Unsuitable</w:t>
            </w:r>
            <w:r w:rsidR="007123D0">
              <w:t xml:space="preserve"> geographic location</w:t>
            </w:r>
          </w:p>
        </w:tc>
      </w:tr>
      <w:tr w:rsidR="00934AFB" w:rsidTr="00934AFB">
        <w:tc>
          <w:tcPr>
            <w:tcW w:w="4508" w:type="dxa"/>
          </w:tcPr>
          <w:p w:rsidR="00934AFB" w:rsidRDefault="00934AFB" w:rsidP="00934AFB">
            <w:pPr>
              <w:pStyle w:val="NoSpacing"/>
            </w:pPr>
            <w:r>
              <w:t>Bearwood Road Allotments</w:t>
            </w:r>
          </w:p>
        </w:tc>
        <w:tc>
          <w:tcPr>
            <w:tcW w:w="4508" w:type="dxa"/>
          </w:tcPr>
          <w:p w:rsidR="00934AFB" w:rsidRDefault="00A51C9F" w:rsidP="00934AFB">
            <w:pPr>
              <w:pStyle w:val="NoSpacing"/>
            </w:pPr>
            <w:r>
              <w:t>Legal constraints</w:t>
            </w:r>
          </w:p>
        </w:tc>
      </w:tr>
      <w:tr w:rsidR="00934AFB" w:rsidTr="00934AFB">
        <w:tc>
          <w:tcPr>
            <w:tcW w:w="4508" w:type="dxa"/>
          </w:tcPr>
          <w:p w:rsidR="00934AFB" w:rsidRDefault="00934AFB" w:rsidP="00934AFB">
            <w:pPr>
              <w:pStyle w:val="NoSpacing"/>
            </w:pPr>
            <w:r>
              <w:t>GKN Sports Ground</w:t>
            </w:r>
          </w:p>
        </w:tc>
        <w:tc>
          <w:tcPr>
            <w:tcW w:w="4508" w:type="dxa"/>
          </w:tcPr>
          <w:p w:rsidR="00934AFB" w:rsidRDefault="00A51C9F" w:rsidP="00934AFB">
            <w:pPr>
              <w:pStyle w:val="NoSpacing"/>
            </w:pPr>
            <w:r>
              <w:t>Not in Council ownership</w:t>
            </w:r>
          </w:p>
        </w:tc>
      </w:tr>
      <w:tr w:rsidR="00934AFB" w:rsidTr="00934AFB">
        <w:tc>
          <w:tcPr>
            <w:tcW w:w="4508" w:type="dxa"/>
          </w:tcPr>
          <w:p w:rsidR="00934AFB" w:rsidRDefault="00934AFB" w:rsidP="00934AFB">
            <w:pPr>
              <w:pStyle w:val="NoSpacing"/>
            </w:pPr>
            <w:r>
              <w:t>Hadley Stadium</w:t>
            </w:r>
          </w:p>
        </w:tc>
        <w:tc>
          <w:tcPr>
            <w:tcW w:w="4508" w:type="dxa"/>
          </w:tcPr>
          <w:p w:rsidR="00934AFB" w:rsidRDefault="007123D0" w:rsidP="00934AFB">
            <w:pPr>
              <w:pStyle w:val="NoSpacing"/>
            </w:pPr>
            <w:r>
              <w:t>Legal constraints</w:t>
            </w:r>
          </w:p>
        </w:tc>
      </w:tr>
      <w:tr w:rsidR="00934AFB" w:rsidTr="00934AFB">
        <w:tc>
          <w:tcPr>
            <w:tcW w:w="4508" w:type="dxa"/>
          </w:tcPr>
          <w:p w:rsidR="00934AFB" w:rsidRDefault="00934AFB" w:rsidP="00934AFB">
            <w:pPr>
              <w:pStyle w:val="NoSpacing"/>
            </w:pPr>
            <w:r>
              <w:t>Harry Mitchel</w:t>
            </w:r>
            <w:r w:rsidR="00A51C9F">
              <w:t>l Leisure Centre (including part of Harry Mitchell Park</w:t>
            </w:r>
            <w:r>
              <w:t>)</w:t>
            </w:r>
          </w:p>
        </w:tc>
        <w:tc>
          <w:tcPr>
            <w:tcW w:w="4508" w:type="dxa"/>
          </w:tcPr>
          <w:p w:rsidR="00934AFB" w:rsidRDefault="00934AFB" w:rsidP="00934AFB">
            <w:pPr>
              <w:pStyle w:val="NoSpacing"/>
            </w:pPr>
            <w:r>
              <w:t>Legal constraints</w:t>
            </w:r>
          </w:p>
        </w:tc>
      </w:tr>
      <w:tr w:rsidR="00934AFB" w:rsidTr="00934AFB">
        <w:tc>
          <w:tcPr>
            <w:tcW w:w="4508" w:type="dxa"/>
          </w:tcPr>
          <w:p w:rsidR="00934AFB" w:rsidRDefault="00934AFB" w:rsidP="00934AFB">
            <w:pPr>
              <w:pStyle w:val="NoSpacing"/>
            </w:pPr>
            <w:r>
              <w:t>Lewisham Park</w:t>
            </w:r>
          </w:p>
        </w:tc>
        <w:tc>
          <w:tcPr>
            <w:tcW w:w="4508" w:type="dxa"/>
          </w:tcPr>
          <w:p w:rsidR="00934AFB" w:rsidRDefault="00A51C9F" w:rsidP="00934AFB">
            <w:pPr>
              <w:pStyle w:val="NoSpacing"/>
            </w:pPr>
            <w:r>
              <w:t>Unsuitable geographic location</w:t>
            </w:r>
          </w:p>
        </w:tc>
      </w:tr>
      <w:tr w:rsidR="00934AFB" w:rsidTr="00934AFB">
        <w:tc>
          <w:tcPr>
            <w:tcW w:w="4508" w:type="dxa"/>
          </w:tcPr>
          <w:p w:rsidR="00934AFB" w:rsidRDefault="00934AFB" w:rsidP="00934AFB">
            <w:pPr>
              <w:pStyle w:val="NoSpacing"/>
            </w:pPr>
            <w:r>
              <w:t>Victoria Park</w:t>
            </w:r>
          </w:p>
        </w:tc>
        <w:tc>
          <w:tcPr>
            <w:tcW w:w="4508" w:type="dxa"/>
          </w:tcPr>
          <w:p w:rsidR="00934AFB" w:rsidRDefault="00A51C9F" w:rsidP="00934AFB">
            <w:pPr>
              <w:pStyle w:val="NoSpacing"/>
            </w:pPr>
            <w:r>
              <w:t xml:space="preserve">Unsuitable </w:t>
            </w:r>
            <w:r w:rsidR="007123D0">
              <w:t>geographic location</w:t>
            </w:r>
          </w:p>
        </w:tc>
      </w:tr>
      <w:tr w:rsidR="00934AFB" w:rsidTr="00934AFB">
        <w:tc>
          <w:tcPr>
            <w:tcW w:w="4508" w:type="dxa"/>
          </w:tcPr>
          <w:p w:rsidR="00934AFB" w:rsidRDefault="00934AFB" w:rsidP="00934AFB">
            <w:pPr>
              <w:pStyle w:val="NoSpacing"/>
            </w:pPr>
            <w:r>
              <w:t>Warley Woods</w:t>
            </w:r>
          </w:p>
        </w:tc>
        <w:tc>
          <w:tcPr>
            <w:tcW w:w="4508" w:type="dxa"/>
          </w:tcPr>
          <w:p w:rsidR="00934AFB" w:rsidRDefault="007123D0" w:rsidP="00934AFB">
            <w:pPr>
              <w:pStyle w:val="NoSpacing"/>
            </w:pPr>
            <w:r>
              <w:t>Legal constraints</w:t>
            </w:r>
          </w:p>
        </w:tc>
      </w:tr>
      <w:tr w:rsidR="00934AFB" w:rsidTr="00934AFB">
        <w:tc>
          <w:tcPr>
            <w:tcW w:w="4508" w:type="dxa"/>
          </w:tcPr>
          <w:p w:rsidR="00934AFB" w:rsidRDefault="00934AFB" w:rsidP="00934AFB">
            <w:pPr>
              <w:pStyle w:val="NoSpacing"/>
            </w:pPr>
            <w:r>
              <w:t>West Smethwick Park</w:t>
            </w:r>
          </w:p>
        </w:tc>
        <w:tc>
          <w:tcPr>
            <w:tcW w:w="4508" w:type="dxa"/>
          </w:tcPr>
          <w:p w:rsidR="00934AFB" w:rsidRDefault="007123D0" w:rsidP="00934AFB">
            <w:pPr>
              <w:pStyle w:val="NoSpacing"/>
            </w:pPr>
            <w:r>
              <w:t>Legal constraints</w:t>
            </w:r>
          </w:p>
        </w:tc>
      </w:tr>
    </w:tbl>
    <w:p w:rsidR="00934AFB" w:rsidRDefault="00934AFB" w:rsidP="00934AFB">
      <w:pPr>
        <w:pStyle w:val="NoSpacing"/>
      </w:pPr>
    </w:p>
    <w:p w:rsidR="001D3E55" w:rsidRDefault="001D3E55" w:rsidP="00934AFB">
      <w:pPr>
        <w:pStyle w:val="NoSpacing"/>
      </w:pPr>
    </w:p>
    <w:p w:rsidR="001D3E55" w:rsidRDefault="001D3E55" w:rsidP="00934AFB">
      <w:pPr>
        <w:pStyle w:val="NoSpacing"/>
      </w:pPr>
    </w:p>
    <w:p w:rsidR="001D3E55" w:rsidRDefault="001D3E55" w:rsidP="00934AFB">
      <w:pPr>
        <w:pStyle w:val="NoSpacing"/>
      </w:pPr>
    </w:p>
    <w:p w:rsidR="001D3E55" w:rsidRPr="001D3E55" w:rsidRDefault="001D3E55" w:rsidP="001D3E55">
      <w:pPr>
        <w:autoSpaceDE w:val="0"/>
        <w:autoSpaceDN w:val="0"/>
        <w:rPr>
          <w:iCs/>
          <w:color w:val="000000"/>
          <w:lang w:eastAsia="en-GB"/>
        </w:rPr>
      </w:pPr>
      <w:r w:rsidRPr="001D3E55">
        <w:rPr>
          <w:iCs/>
          <w:color w:val="000000"/>
          <w:lang w:eastAsia="en-GB"/>
        </w:rPr>
        <w:t>If you are dissatisfied with the handling of your request, you have the right to ask for an internal review. Internal review requests should be submitted within two months of the date of receipt of the response to your request, and should be addressed to:</w:t>
      </w:r>
    </w:p>
    <w:p w:rsidR="001D3E55" w:rsidRPr="001D3E55" w:rsidRDefault="001D3E55" w:rsidP="001D3E55">
      <w:pPr>
        <w:autoSpaceDE w:val="0"/>
        <w:autoSpaceDN w:val="0"/>
        <w:rPr>
          <w:iCs/>
          <w:color w:val="000000"/>
          <w:lang w:eastAsia="en-GB"/>
        </w:rPr>
      </w:pPr>
    </w:p>
    <w:p w:rsidR="001D3E55" w:rsidRPr="001D3E55" w:rsidRDefault="001D3E55" w:rsidP="001D3E55">
      <w:pPr>
        <w:autoSpaceDE w:val="0"/>
        <w:autoSpaceDN w:val="0"/>
        <w:rPr>
          <w:iCs/>
          <w:color w:val="000000"/>
          <w:lang w:eastAsia="en-GB"/>
        </w:rPr>
      </w:pPr>
      <w:r w:rsidRPr="001D3E55">
        <w:rPr>
          <w:iCs/>
          <w:color w:val="000000"/>
          <w:lang w:eastAsia="en-GB"/>
        </w:rPr>
        <w:t>Information Management Unit</w:t>
      </w:r>
    </w:p>
    <w:p w:rsidR="001D3E55" w:rsidRPr="001D3E55" w:rsidRDefault="001D3E55" w:rsidP="001D3E55">
      <w:pPr>
        <w:autoSpaceDE w:val="0"/>
        <w:autoSpaceDN w:val="0"/>
        <w:rPr>
          <w:iCs/>
          <w:color w:val="000000"/>
          <w:lang w:eastAsia="en-GB"/>
        </w:rPr>
      </w:pPr>
      <w:r w:rsidRPr="001D3E55">
        <w:rPr>
          <w:iCs/>
          <w:color w:val="000000"/>
          <w:lang w:eastAsia="en-GB"/>
        </w:rPr>
        <w:t>Oldbury Council House</w:t>
      </w:r>
    </w:p>
    <w:p w:rsidR="001D3E55" w:rsidRPr="001D3E55" w:rsidRDefault="001D3E55" w:rsidP="001D3E55">
      <w:pPr>
        <w:autoSpaceDE w:val="0"/>
        <w:autoSpaceDN w:val="0"/>
        <w:rPr>
          <w:iCs/>
          <w:color w:val="000000"/>
          <w:lang w:eastAsia="en-GB"/>
        </w:rPr>
      </w:pPr>
      <w:r w:rsidRPr="001D3E55">
        <w:rPr>
          <w:iCs/>
          <w:color w:val="000000"/>
          <w:lang w:eastAsia="en-GB"/>
        </w:rPr>
        <w:t>Freeth Street</w:t>
      </w:r>
    </w:p>
    <w:p w:rsidR="001D3E55" w:rsidRPr="001D3E55" w:rsidRDefault="001D3E55" w:rsidP="001D3E55">
      <w:pPr>
        <w:autoSpaceDE w:val="0"/>
        <w:autoSpaceDN w:val="0"/>
        <w:rPr>
          <w:iCs/>
          <w:color w:val="000000"/>
          <w:lang w:eastAsia="en-GB"/>
        </w:rPr>
      </w:pPr>
      <w:r w:rsidRPr="001D3E55">
        <w:rPr>
          <w:iCs/>
          <w:color w:val="000000"/>
          <w:lang w:eastAsia="en-GB"/>
        </w:rPr>
        <w:t>Oldbury</w:t>
      </w:r>
    </w:p>
    <w:p w:rsidR="001D3E55" w:rsidRPr="001D3E55" w:rsidRDefault="001D3E55" w:rsidP="001D3E55">
      <w:pPr>
        <w:autoSpaceDE w:val="0"/>
        <w:autoSpaceDN w:val="0"/>
        <w:rPr>
          <w:iCs/>
          <w:color w:val="000000"/>
          <w:lang w:eastAsia="en-GB"/>
        </w:rPr>
      </w:pPr>
      <w:r w:rsidRPr="001D3E55">
        <w:rPr>
          <w:iCs/>
          <w:color w:val="000000"/>
          <w:lang w:eastAsia="en-GB"/>
        </w:rPr>
        <w:t>West Midlands</w:t>
      </w:r>
    </w:p>
    <w:p w:rsidR="001D3E55" w:rsidRPr="001D3E55" w:rsidRDefault="001D3E55" w:rsidP="001D3E55">
      <w:pPr>
        <w:autoSpaceDE w:val="0"/>
        <w:autoSpaceDN w:val="0"/>
        <w:rPr>
          <w:iCs/>
          <w:color w:val="000000"/>
          <w:lang w:eastAsia="en-GB"/>
        </w:rPr>
      </w:pPr>
      <w:r w:rsidRPr="001D3E55">
        <w:rPr>
          <w:iCs/>
          <w:color w:val="000000"/>
          <w:lang w:eastAsia="en-GB"/>
        </w:rPr>
        <w:t>B69 3DE</w:t>
      </w:r>
    </w:p>
    <w:p w:rsidR="001D3E55" w:rsidRPr="001D3E55" w:rsidRDefault="001D3E55" w:rsidP="001D3E55">
      <w:pPr>
        <w:autoSpaceDE w:val="0"/>
        <w:autoSpaceDN w:val="0"/>
        <w:rPr>
          <w:iCs/>
          <w:color w:val="0000FF"/>
          <w:lang w:eastAsia="en-GB"/>
        </w:rPr>
      </w:pPr>
      <w:r w:rsidRPr="001D3E55">
        <w:rPr>
          <w:iCs/>
          <w:color w:val="000000"/>
          <w:lang w:eastAsia="en-GB"/>
        </w:rPr>
        <w:t xml:space="preserve">Email – </w:t>
      </w:r>
      <w:r w:rsidRPr="001D3E55">
        <w:rPr>
          <w:iCs/>
          <w:lang w:eastAsia="en-GB"/>
        </w:rPr>
        <w:t>Info_Management@sandwell.gov.uk</w:t>
      </w:r>
    </w:p>
    <w:p w:rsidR="001D3E55" w:rsidRPr="001D3E55" w:rsidRDefault="001D3E55" w:rsidP="001D3E55">
      <w:pPr>
        <w:autoSpaceDE w:val="0"/>
        <w:autoSpaceDN w:val="0"/>
        <w:rPr>
          <w:iCs/>
          <w:color w:val="000000"/>
          <w:lang w:eastAsia="en-GB"/>
        </w:rPr>
      </w:pPr>
    </w:p>
    <w:p w:rsidR="001D3E55" w:rsidRPr="001D3E55" w:rsidRDefault="001D3E55" w:rsidP="001D3E55">
      <w:pPr>
        <w:autoSpaceDE w:val="0"/>
        <w:autoSpaceDN w:val="0"/>
        <w:rPr>
          <w:iCs/>
          <w:color w:val="000000"/>
          <w:lang w:eastAsia="en-GB"/>
        </w:rPr>
      </w:pPr>
      <w:r w:rsidRPr="001D3E55">
        <w:rPr>
          <w:iCs/>
          <w:color w:val="000000"/>
          <w:lang w:eastAsia="en-GB"/>
        </w:rPr>
        <w:lastRenderedPageBreak/>
        <w:t>Please note that any additional questions to your original request will not be answered at internal review stage and should be presented in a separate, new Freedom of Information request. If you are not content with the outcome of an internal review, you have the right to apply directly to the Information Commissioner for a decision. The Information Commissioner can be contacted at:</w:t>
      </w:r>
    </w:p>
    <w:p w:rsidR="001D3E55" w:rsidRPr="001D3E55" w:rsidRDefault="001D3E55" w:rsidP="001D3E55">
      <w:pPr>
        <w:autoSpaceDE w:val="0"/>
        <w:autoSpaceDN w:val="0"/>
        <w:rPr>
          <w:iCs/>
          <w:color w:val="000000"/>
          <w:lang w:eastAsia="en-GB"/>
        </w:rPr>
      </w:pPr>
    </w:p>
    <w:p w:rsidR="001D3E55" w:rsidRPr="001D3E55" w:rsidRDefault="001D3E55" w:rsidP="001D3E55">
      <w:pPr>
        <w:autoSpaceDE w:val="0"/>
        <w:autoSpaceDN w:val="0"/>
        <w:rPr>
          <w:iCs/>
          <w:color w:val="000000"/>
          <w:lang w:eastAsia="en-GB"/>
        </w:rPr>
      </w:pPr>
      <w:r w:rsidRPr="001D3E55">
        <w:rPr>
          <w:iCs/>
          <w:color w:val="000000"/>
          <w:lang w:eastAsia="en-GB"/>
        </w:rPr>
        <w:t>Information Commissioner's Office</w:t>
      </w:r>
    </w:p>
    <w:p w:rsidR="001D3E55" w:rsidRPr="001D3E55" w:rsidRDefault="001D3E55" w:rsidP="001D3E55">
      <w:pPr>
        <w:autoSpaceDE w:val="0"/>
        <w:autoSpaceDN w:val="0"/>
        <w:rPr>
          <w:iCs/>
          <w:color w:val="000000"/>
          <w:lang w:eastAsia="en-GB"/>
        </w:rPr>
      </w:pPr>
      <w:r w:rsidRPr="001D3E55">
        <w:rPr>
          <w:iCs/>
          <w:color w:val="000000"/>
          <w:lang w:eastAsia="en-GB"/>
        </w:rPr>
        <w:t>Wycliffe House</w:t>
      </w:r>
    </w:p>
    <w:p w:rsidR="001D3E55" w:rsidRPr="001D3E55" w:rsidRDefault="001D3E55" w:rsidP="001D3E55">
      <w:pPr>
        <w:autoSpaceDE w:val="0"/>
        <w:autoSpaceDN w:val="0"/>
        <w:rPr>
          <w:iCs/>
          <w:color w:val="000000"/>
          <w:lang w:eastAsia="en-GB"/>
        </w:rPr>
      </w:pPr>
      <w:r w:rsidRPr="001D3E55">
        <w:rPr>
          <w:iCs/>
          <w:color w:val="000000"/>
          <w:lang w:eastAsia="en-GB"/>
        </w:rPr>
        <w:t>Water Lane</w:t>
      </w:r>
    </w:p>
    <w:p w:rsidR="001D3E55" w:rsidRPr="001D3E55" w:rsidRDefault="001D3E55" w:rsidP="001D3E55">
      <w:pPr>
        <w:autoSpaceDE w:val="0"/>
        <w:autoSpaceDN w:val="0"/>
        <w:rPr>
          <w:iCs/>
          <w:color w:val="000000"/>
          <w:lang w:eastAsia="en-GB"/>
        </w:rPr>
      </w:pPr>
      <w:r w:rsidRPr="001D3E55">
        <w:rPr>
          <w:iCs/>
          <w:color w:val="000000"/>
          <w:lang w:eastAsia="en-GB"/>
        </w:rPr>
        <w:t>Wilmslow</w:t>
      </w:r>
    </w:p>
    <w:p w:rsidR="001D3E55" w:rsidRPr="001D3E55" w:rsidRDefault="001D3E55" w:rsidP="001D3E55">
      <w:pPr>
        <w:autoSpaceDE w:val="0"/>
        <w:autoSpaceDN w:val="0"/>
        <w:rPr>
          <w:iCs/>
          <w:color w:val="000000"/>
          <w:lang w:eastAsia="en-GB"/>
        </w:rPr>
      </w:pPr>
      <w:r w:rsidRPr="001D3E55">
        <w:rPr>
          <w:iCs/>
          <w:color w:val="000000"/>
          <w:lang w:eastAsia="en-GB"/>
        </w:rPr>
        <w:t>Cheshire SK9 5AF</w:t>
      </w:r>
    </w:p>
    <w:p w:rsidR="001D3E55" w:rsidRPr="001D3E55" w:rsidRDefault="001D3E55" w:rsidP="001D3E55">
      <w:pPr>
        <w:autoSpaceDE w:val="0"/>
        <w:autoSpaceDN w:val="0"/>
        <w:rPr>
          <w:iCs/>
          <w:color w:val="000000"/>
          <w:lang w:eastAsia="en-GB"/>
        </w:rPr>
      </w:pPr>
    </w:p>
    <w:p w:rsidR="001D3E55" w:rsidRPr="001D3E55" w:rsidRDefault="001D3E55" w:rsidP="001D3E55">
      <w:pPr>
        <w:pStyle w:val="NoSpacing"/>
      </w:pPr>
      <w:r w:rsidRPr="001D3E55">
        <w:rPr>
          <w:iCs/>
          <w:color w:val="000000"/>
          <w:lang w:eastAsia="en-GB"/>
        </w:rPr>
        <w:t>Please remember to quote your reference number above in any future communications.</w:t>
      </w:r>
    </w:p>
    <w:p w:rsidR="001D3E55" w:rsidRDefault="001D3E55" w:rsidP="00934AFB">
      <w:pPr>
        <w:pStyle w:val="NoSpacing"/>
      </w:pPr>
    </w:p>
    <w:p w:rsidR="001D3E55" w:rsidRDefault="001D3E55" w:rsidP="00934AFB">
      <w:pPr>
        <w:pStyle w:val="NoSpacing"/>
      </w:pPr>
    </w:p>
    <w:p w:rsidR="001D3E55" w:rsidRDefault="001D3E55" w:rsidP="00934AFB">
      <w:pPr>
        <w:pStyle w:val="NoSpacing"/>
      </w:pPr>
    </w:p>
    <w:p w:rsidR="001D3E55" w:rsidRDefault="001D3E55" w:rsidP="00934AFB">
      <w:pPr>
        <w:pStyle w:val="NoSpacing"/>
      </w:pPr>
    </w:p>
    <w:p w:rsidR="009C107E" w:rsidRPr="009C107E" w:rsidRDefault="009C107E" w:rsidP="009C107E">
      <w:pPr>
        <w:pStyle w:val="NoSpacing"/>
      </w:pPr>
    </w:p>
    <w:p w:rsidR="009C107E" w:rsidRDefault="009C107E" w:rsidP="009C107E">
      <w:pPr>
        <w:pStyle w:val="NoSpacing"/>
      </w:pPr>
    </w:p>
    <w:p w:rsidR="009C107E" w:rsidRPr="009C107E" w:rsidRDefault="009C107E" w:rsidP="009C107E">
      <w:pPr>
        <w:pStyle w:val="NoSpacing"/>
      </w:pPr>
    </w:p>
    <w:p w:rsidR="00934AFB" w:rsidRDefault="00934AFB" w:rsidP="007123D0">
      <w:pPr>
        <w:pStyle w:val="NoSpacing"/>
        <w:jc w:val="center"/>
      </w:pPr>
    </w:p>
    <w:p w:rsidR="009C107E" w:rsidRDefault="009C107E" w:rsidP="007123D0">
      <w:pPr>
        <w:pStyle w:val="NoSpacing"/>
        <w:jc w:val="center"/>
      </w:pPr>
    </w:p>
    <w:p w:rsidR="00934AFB" w:rsidRPr="00934AFB" w:rsidRDefault="00934AFB" w:rsidP="00934AFB">
      <w:pPr>
        <w:pStyle w:val="NoSpacing"/>
      </w:pPr>
    </w:p>
    <w:p w:rsidR="00934AFB" w:rsidRPr="00934AFB" w:rsidRDefault="00934AFB" w:rsidP="00934AFB">
      <w:pPr>
        <w:pStyle w:val="NoSpacing"/>
      </w:pPr>
    </w:p>
    <w:sectPr w:rsidR="00934AFB" w:rsidRPr="00934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43F77"/>
    <w:multiLevelType w:val="hybridMultilevel"/>
    <w:tmpl w:val="6BB0C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2006F7"/>
    <w:multiLevelType w:val="hybridMultilevel"/>
    <w:tmpl w:val="D26AD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FB"/>
    <w:rsid w:val="000C74E6"/>
    <w:rsid w:val="001D3E55"/>
    <w:rsid w:val="007123D0"/>
    <w:rsid w:val="0074026C"/>
    <w:rsid w:val="00934AFB"/>
    <w:rsid w:val="009A0AEE"/>
    <w:rsid w:val="009C107E"/>
    <w:rsid w:val="00A03952"/>
    <w:rsid w:val="00A51C9F"/>
    <w:rsid w:val="00D536B1"/>
    <w:rsid w:val="00E25356"/>
    <w:rsid w:val="00E34168"/>
    <w:rsid w:val="00E91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4AFB"/>
    <w:pPr>
      <w:spacing w:after="0" w:line="240" w:lineRule="auto"/>
    </w:pPr>
  </w:style>
  <w:style w:type="table" w:styleId="TableGrid">
    <w:name w:val="Table Grid"/>
    <w:basedOn w:val="TableNormal"/>
    <w:uiPriority w:val="39"/>
    <w:rsid w:val="00934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4AFB"/>
    <w:pPr>
      <w:spacing w:after="0" w:line="240" w:lineRule="auto"/>
    </w:pPr>
  </w:style>
  <w:style w:type="table" w:styleId="TableGrid">
    <w:name w:val="Table Grid"/>
    <w:basedOn w:val="TableNormal"/>
    <w:uiPriority w:val="39"/>
    <w:rsid w:val="00934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87744">
      <w:bodyDiv w:val="1"/>
      <w:marLeft w:val="0"/>
      <w:marRight w:val="0"/>
      <w:marTop w:val="0"/>
      <w:marBottom w:val="0"/>
      <w:divBdr>
        <w:top w:val="none" w:sz="0" w:space="0" w:color="auto"/>
        <w:left w:val="none" w:sz="0" w:space="0" w:color="auto"/>
        <w:bottom w:val="none" w:sz="0" w:space="0" w:color="auto"/>
        <w:right w:val="none" w:sz="0" w:space="0" w:color="auto"/>
      </w:divBdr>
    </w:div>
    <w:div w:id="1118528273">
      <w:bodyDiv w:val="1"/>
      <w:marLeft w:val="0"/>
      <w:marRight w:val="0"/>
      <w:marTop w:val="0"/>
      <w:marBottom w:val="0"/>
      <w:divBdr>
        <w:top w:val="none" w:sz="0" w:space="0" w:color="auto"/>
        <w:left w:val="none" w:sz="0" w:space="0" w:color="auto"/>
        <w:bottom w:val="none" w:sz="0" w:space="0" w:color="auto"/>
        <w:right w:val="none" w:sz="0" w:space="0" w:color="auto"/>
      </w:divBdr>
    </w:div>
    <w:div w:id="19858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AdamsFelton</dc:creator>
  <cp:lastModifiedBy>Rob</cp:lastModifiedBy>
  <cp:revision>2</cp:revision>
  <dcterms:created xsi:type="dcterms:W3CDTF">2018-11-14T23:47:00Z</dcterms:created>
  <dcterms:modified xsi:type="dcterms:W3CDTF">2018-11-14T23:47:00Z</dcterms:modified>
</cp:coreProperties>
</file>